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09E" w:rsidRDefault="008E009E" w:rsidP="008E009E">
      <w:pPr>
        <w:spacing w:after="0" w:line="240" w:lineRule="auto"/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</w:pP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Role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  <w:t>: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  <w:t xml:space="preserve">Chief </w:t>
      </w:r>
      <w:r w:rsidR="00E21012"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Human Resource Officer</w:t>
      </w:r>
    </w:p>
    <w:p w:rsidR="008E009E" w:rsidRDefault="008E009E" w:rsidP="008E009E">
      <w:pPr>
        <w:spacing w:after="0" w:line="240" w:lineRule="auto"/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</w:pP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Qualification: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  <w:t>MBA</w:t>
      </w:r>
    </w:p>
    <w:p w:rsidR="008E009E" w:rsidRDefault="008E009E" w:rsidP="008E009E">
      <w:pPr>
        <w:spacing w:after="0" w:line="240" w:lineRule="auto"/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</w:pP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Experience: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  <w:t>20 Years</w:t>
      </w:r>
    </w:p>
    <w:p w:rsidR="00BE7A0C" w:rsidRPr="00BE7A0C" w:rsidRDefault="00BE7A0C" w:rsidP="00BE7A0C">
      <w:pPr>
        <w:numPr>
          <w:ilvl w:val="0"/>
          <w:numId w:val="5"/>
        </w:numPr>
        <w:spacing w:before="100" w:beforeAutospacing="1" w:after="100" w:afterAutospacing="1" w:line="419" w:lineRule="atLeast"/>
        <w:ind w:left="0"/>
        <w:jc w:val="both"/>
        <w:rPr>
          <w:rFonts w:ascii="Arial" w:eastAsia="Times New Roman" w:hAnsi="Arial" w:cs="Arial"/>
          <w:color w:val="242533"/>
          <w:sz w:val="27"/>
          <w:szCs w:val="27"/>
          <w:lang w:val="en-IN" w:eastAsia="en-IN"/>
        </w:rPr>
      </w:pPr>
      <w:r w:rsidRPr="00BE7A0C">
        <w:rPr>
          <w:rFonts w:ascii="Arial" w:eastAsia="Times New Roman" w:hAnsi="Arial" w:cs="Arial"/>
          <w:color w:val="242533"/>
          <w:sz w:val="27"/>
          <w:szCs w:val="27"/>
          <w:lang w:val="en-IN" w:eastAsia="en-IN"/>
        </w:rPr>
        <w:t>O</w:t>
      </w:r>
      <w:r w:rsidR="001238CF" w:rsidRPr="00BE7A0C">
        <w:rPr>
          <w:rFonts w:ascii="Arial" w:eastAsia="Times New Roman" w:hAnsi="Arial" w:cs="Arial"/>
          <w:color w:val="242533"/>
          <w:sz w:val="27"/>
          <w:szCs w:val="27"/>
          <w:lang w:val="en-IN" w:eastAsia="en-IN"/>
        </w:rPr>
        <w:t>verseeing onboarding, </w:t>
      </w:r>
      <w:hyperlink r:id="rId5" w:history="1">
        <w:r w:rsidR="001238CF" w:rsidRPr="00BE7A0C">
          <w:rPr>
            <w:rFonts w:eastAsia="Times New Roman"/>
            <w:color w:val="242533"/>
            <w:lang w:val="en-IN" w:eastAsia="en-IN"/>
          </w:rPr>
          <w:t>employee engagement</w:t>
        </w:r>
      </w:hyperlink>
      <w:r w:rsidR="001238CF" w:rsidRPr="00BE7A0C">
        <w:rPr>
          <w:rFonts w:ascii="Arial" w:eastAsia="Times New Roman" w:hAnsi="Arial" w:cs="Arial"/>
          <w:color w:val="242533"/>
          <w:sz w:val="27"/>
          <w:szCs w:val="27"/>
          <w:lang w:val="en-IN" w:eastAsia="en-IN"/>
        </w:rPr>
        <w:t> initiatives and creating a work environment that supports well-being, problem-solving and performance management.</w:t>
      </w:r>
    </w:p>
    <w:p w:rsidR="001238CF" w:rsidRPr="00BE7A0C" w:rsidRDefault="00BE7A0C" w:rsidP="00BE7A0C">
      <w:pPr>
        <w:numPr>
          <w:ilvl w:val="0"/>
          <w:numId w:val="5"/>
        </w:numPr>
        <w:spacing w:before="100" w:beforeAutospacing="1" w:after="100" w:afterAutospacing="1" w:line="419" w:lineRule="atLeast"/>
        <w:ind w:left="0"/>
        <w:jc w:val="both"/>
        <w:rPr>
          <w:rFonts w:ascii="Arial" w:eastAsia="Times New Roman" w:hAnsi="Arial" w:cs="Arial"/>
          <w:color w:val="242533"/>
          <w:sz w:val="27"/>
          <w:szCs w:val="27"/>
          <w:lang w:val="en-IN" w:eastAsia="en-IN"/>
        </w:rPr>
      </w:pPr>
      <w:r w:rsidRPr="00BE7A0C">
        <w:rPr>
          <w:rFonts w:ascii="Arial" w:eastAsia="Times New Roman" w:hAnsi="Arial" w:cs="Arial"/>
          <w:color w:val="242533"/>
          <w:sz w:val="27"/>
          <w:szCs w:val="27"/>
          <w:lang w:val="en-IN" w:eastAsia="en-IN"/>
        </w:rPr>
        <w:t>E</w:t>
      </w:r>
      <w:r w:rsidR="001238CF" w:rsidRPr="00BE7A0C">
        <w:rPr>
          <w:rFonts w:ascii="Arial" w:eastAsia="Times New Roman" w:hAnsi="Arial" w:cs="Arial"/>
          <w:color w:val="242533"/>
          <w:sz w:val="27"/>
          <w:szCs w:val="27"/>
          <w:lang w:val="en-IN" w:eastAsia="en-IN"/>
        </w:rPr>
        <w:t>nsures that the workplace </w:t>
      </w:r>
      <w:hyperlink r:id="rId6" w:history="1">
        <w:r w:rsidR="001238CF" w:rsidRPr="00BE7A0C">
          <w:rPr>
            <w:rFonts w:eastAsia="Times New Roman"/>
            <w:color w:val="242533"/>
            <w:lang w:val="en-IN" w:eastAsia="en-IN"/>
          </w:rPr>
          <w:t>culture</w:t>
        </w:r>
      </w:hyperlink>
      <w:r w:rsidR="001238CF" w:rsidRPr="00BE7A0C">
        <w:rPr>
          <w:rFonts w:ascii="Arial" w:eastAsia="Times New Roman" w:hAnsi="Arial" w:cs="Arial"/>
          <w:color w:val="242533"/>
          <w:sz w:val="27"/>
          <w:szCs w:val="27"/>
          <w:lang w:val="en-IN" w:eastAsia="en-IN"/>
        </w:rPr>
        <w:t> reflects the </w:t>
      </w:r>
      <w:hyperlink r:id="rId7" w:history="1">
        <w:r w:rsidR="001238CF" w:rsidRPr="00BE7A0C">
          <w:rPr>
            <w:rFonts w:eastAsia="Times New Roman"/>
            <w:color w:val="242533"/>
            <w:lang w:val="en-IN" w:eastAsia="en-IN"/>
          </w:rPr>
          <w:t>values</w:t>
        </w:r>
      </w:hyperlink>
      <w:r w:rsidR="001238CF" w:rsidRPr="00BE7A0C">
        <w:rPr>
          <w:rFonts w:ascii="Arial" w:eastAsia="Times New Roman" w:hAnsi="Arial" w:cs="Arial"/>
          <w:color w:val="242533"/>
          <w:sz w:val="27"/>
          <w:szCs w:val="27"/>
          <w:lang w:val="en-IN" w:eastAsia="en-IN"/>
        </w:rPr>
        <w:t> of the business and fosters a high-performing and inclusive atmosphere.</w:t>
      </w:r>
    </w:p>
    <w:p w:rsidR="008E009E" w:rsidRPr="00BE7A0C" w:rsidRDefault="00BE7A0C" w:rsidP="00BE7A0C">
      <w:pPr>
        <w:numPr>
          <w:ilvl w:val="0"/>
          <w:numId w:val="5"/>
        </w:numPr>
        <w:spacing w:before="100" w:beforeAutospacing="1" w:after="100" w:afterAutospacing="1" w:line="419" w:lineRule="atLeast"/>
        <w:ind w:left="0"/>
        <w:jc w:val="both"/>
        <w:rPr>
          <w:rFonts w:ascii="Arial" w:eastAsia="Times New Roman" w:hAnsi="Arial" w:cs="Arial"/>
          <w:color w:val="242533"/>
          <w:sz w:val="27"/>
          <w:szCs w:val="27"/>
          <w:lang w:val="en-IN" w:eastAsia="en-IN"/>
        </w:rPr>
      </w:pPr>
      <w:r w:rsidRPr="00BE7A0C">
        <w:rPr>
          <w:rFonts w:ascii="Arial" w:eastAsia="Times New Roman" w:hAnsi="Arial" w:cs="Arial"/>
          <w:color w:val="242533"/>
          <w:sz w:val="27"/>
          <w:szCs w:val="27"/>
          <w:lang w:val="en-IN" w:eastAsia="en-IN"/>
        </w:rPr>
        <w:t>M</w:t>
      </w:r>
      <w:r w:rsidRPr="00BE7A0C">
        <w:rPr>
          <w:rFonts w:ascii="Arial" w:eastAsia="Times New Roman" w:hAnsi="Arial" w:cs="Arial"/>
          <w:color w:val="242533"/>
          <w:sz w:val="27"/>
          <w:szCs w:val="27"/>
          <w:lang w:val="en-IN" w:eastAsia="en-IN"/>
        </w:rPr>
        <w:t xml:space="preserve">anage compensation and benefits schemes, ensuring they are competitive and fair. </w:t>
      </w:r>
    </w:p>
    <w:p w:rsidR="00BE7A0C" w:rsidRDefault="00BE7A0C" w:rsidP="00BE7A0C">
      <w:pPr>
        <w:numPr>
          <w:ilvl w:val="0"/>
          <w:numId w:val="5"/>
        </w:numPr>
        <w:spacing w:before="100" w:beforeAutospacing="1" w:after="100" w:afterAutospacing="1" w:line="419" w:lineRule="atLeast"/>
        <w:ind w:left="0"/>
        <w:jc w:val="both"/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</w:pPr>
      <w:r w:rsidRPr="00BE7A0C">
        <w:rPr>
          <w:rFonts w:ascii="Arial" w:eastAsia="Times New Roman" w:hAnsi="Arial" w:cs="Arial"/>
          <w:color w:val="242533"/>
          <w:sz w:val="27"/>
          <w:szCs w:val="27"/>
          <w:lang w:val="en-IN" w:eastAsia="en-IN"/>
        </w:rPr>
        <w:t>L</w:t>
      </w:r>
      <w:r w:rsidRPr="00BE7A0C">
        <w:rPr>
          <w:rFonts w:ascii="Arial" w:eastAsia="Times New Roman" w:hAnsi="Arial" w:cs="Arial"/>
          <w:color w:val="242533"/>
          <w:sz w:val="27"/>
          <w:szCs w:val="27"/>
          <w:lang w:val="en-IN" w:eastAsia="en-IN"/>
        </w:rPr>
        <w:t>everage HR technology and data analytics to make informed decisions.</w:t>
      </w:r>
    </w:p>
    <w:p w:rsidR="0017063D" w:rsidRPr="0017063D" w:rsidRDefault="0017063D" w:rsidP="006E60B0">
      <w:pPr>
        <w:numPr>
          <w:ilvl w:val="0"/>
          <w:numId w:val="5"/>
        </w:numPr>
        <w:spacing w:before="100" w:beforeAutospacing="1" w:after="100" w:afterAutospacing="1" w:line="419" w:lineRule="atLeast"/>
        <w:ind w:left="0"/>
        <w:jc w:val="both"/>
        <w:rPr>
          <w:rFonts w:ascii="Arial" w:eastAsia="Times New Roman" w:hAnsi="Arial" w:cs="Arial"/>
          <w:color w:val="242533"/>
          <w:sz w:val="27"/>
          <w:szCs w:val="27"/>
          <w:lang w:val="en-IN" w:eastAsia="en-IN"/>
        </w:rPr>
      </w:pPr>
      <w:r w:rsidRPr="0017063D">
        <w:rPr>
          <w:rFonts w:ascii="Arial" w:eastAsia="Times New Roman" w:hAnsi="Arial" w:cs="Arial"/>
          <w:color w:val="242533"/>
          <w:sz w:val="27"/>
          <w:szCs w:val="27"/>
          <w:lang w:val="en-IN" w:eastAsia="en-IN"/>
        </w:rPr>
        <w:t>Craft powerful talent acquisition strategies to build strong pipelines for future hiring needs, ensuring a steady supply of diverse and qualified candidates.</w:t>
      </w:r>
    </w:p>
    <w:p w:rsidR="0017063D" w:rsidRPr="0017063D" w:rsidRDefault="0017063D" w:rsidP="006E60B0">
      <w:pPr>
        <w:numPr>
          <w:ilvl w:val="0"/>
          <w:numId w:val="5"/>
        </w:numPr>
        <w:spacing w:before="100" w:beforeAutospacing="1" w:after="100" w:afterAutospacing="1" w:line="419" w:lineRule="atLeast"/>
        <w:ind w:left="0"/>
        <w:jc w:val="both"/>
        <w:rPr>
          <w:rFonts w:ascii="Arial" w:eastAsia="Times New Roman" w:hAnsi="Arial" w:cs="Arial"/>
          <w:color w:val="242533"/>
          <w:sz w:val="27"/>
          <w:szCs w:val="27"/>
          <w:lang w:val="en-IN" w:eastAsia="en-IN"/>
        </w:rPr>
      </w:pPr>
      <w:r w:rsidRPr="0017063D">
        <w:rPr>
          <w:rFonts w:ascii="Arial" w:eastAsia="Times New Roman" w:hAnsi="Arial" w:cs="Arial"/>
          <w:color w:val="242533"/>
          <w:sz w:val="27"/>
          <w:szCs w:val="27"/>
          <w:lang w:val="en-IN" w:eastAsia="en-IN"/>
        </w:rPr>
        <w:t>Formulate career development plans that foster employee growth, engagement, and retention.</w:t>
      </w:r>
    </w:p>
    <w:p w:rsidR="0017063D" w:rsidRPr="0017063D" w:rsidRDefault="0017063D" w:rsidP="006E60B0">
      <w:pPr>
        <w:numPr>
          <w:ilvl w:val="0"/>
          <w:numId w:val="5"/>
        </w:numPr>
        <w:spacing w:before="100" w:beforeAutospacing="1" w:after="100" w:afterAutospacing="1" w:line="419" w:lineRule="atLeast"/>
        <w:ind w:left="0"/>
        <w:jc w:val="both"/>
        <w:rPr>
          <w:rFonts w:ascii="Arial" w:eastAsia="Times New Roman" w:hAnsi="Arial" w:cs="Arial"/>
          <w:color w:val="242533"/>
          <w:sz w:val="27"/>
          <w:szCs w:val="27"/>
          <w:lang w:val="en-IN" w:eastAsia="en-IN"/>
        </w:rPr>
      </w:pPr>
      <w:r w:rsidRPr="0017063D">
        <w:rPr>
          <w:rFonts w:ascii="Arial" w:eastAsia="Times New Roman" w:hAnsi="Arial" w:cs="Arial"/>
          <w:color w:val="242533"/>
          <w:sz w:val="27"/>
          <w:szCs w:val="27"/>
          <w:lang w:val="en-IN" w:eastAsia="en-IN"/>
        </w:rPr>
        <w:t>Promote inclusion in the workplace and reinforce our position as an equal opportunity employer, ensuring diversity and equity are integral to our culture.</w:t>
      </w:r>
    </w:p>
    <w:p w:rsidR="0017063D" w:rsidRPr="0017063D" w:rsidRDefault="0017063D" w:rsidP="006E60B0">
      <w:pPr>
        <w:numPr>
          <w:ilvl w:val="0"/>
          <w:numId w:val="5"/>
        </w:numPr>
        <w:spacing w:before="100" w:beforeAutospacing="1" w:after="100" w:afterAutospacing="1" w:line="419" w:lineRule="atLeast"/>
        <w:ind w:left="0"/>
        <w:jc w:val="both"/>
        <w:rPr>
          <w:rFonts w:ascii="Arial" w:eastAsia="Times New Roman" w:hAnsi="Arial" w:cs="Arial"/>
          <w:color w:val="242533"/>
          <w:sz w:val="27"/>
          <w:szCs w:val="27"/>
          <w:lang w:val="en-IN" w:eastAsia="en-IN"/>
        </w:rPr>
      </w:pPr>
      <w:r w:rsidRPr="0017063D">
        <w:rPr>
          <w:rFonts w:ascii="Arial" w:eastAsia="Times New Roman" w:hAnsi="Arial" w:cs="Arial"/>
          <w:color w:val="242533"/>
          <w:sz w:val="27"/>
          <w:szCs w:val="27"/>
          <w:lang w:val="en-IN" w:eastAsia="en-IN"/>
        </w:rPr>
        <w:t>Ensure our hiring, onboarding, and management procedures are effective and inclusive for employees from diverse backgrounds.</w:t>
      </w:r>
    </w:p>
    <w:p w:rsidR="0017063D" w:rsidRPr="0017063D" w:rsidRDefault="0017063D" w:rsidP="006E60B0">
      <w:pPr>
        <w:numPr>
          <w:ilvl w:val="0"/>
          <w:numId w:val="5"/>
        </w:numPr>
        <w:spacing w:before="100" w:beforeAutospacing="1" w:after="100" w:afterAutospacing="1" w:line="419" w:lineRule="atLeast"/>
        <w:ind w:left="0"/>
        <w:jc w:val="both"/>
        <w:rPr>
          <w:rFonts w:ascii="Arial" w:eastAsia="Times New Roman" w:hAnsi="Arial" w:cs="Arial"/>
          <w:color w:val="242533"/>
          <w:sz w:val="27"/>
          <w:szCs w:val="27"/>
          <w:lang w:val="en-IN" w:eastAsia="en-IN"/>
        </w:rPr>
      </w:pPr>
      <w:r w:rsidRPr="0017063D">
        <w:rPr>
          <w:rFonts w:ascii="Arial" w:eastAsia="Times New Roman" w:hAnsi="Arial" w:cs="Arial"/>
          <w:color w:val="242533"/>
          <w:sz w:val="27"/>
          <w:szCs w:val="27"/>
          <w:lang w:val="en-IN" w:eastAsia="en-IN"/>
        </w:rPr>
        <w:t>Supervise and provide strategic guidance to the HR team to ensure seamless HR operations.</w:t>
      </w:r>
    </w:p>
    <w:p w:rsidR="0017063D" w:rsidRPr="0017063D" w:rsidRDefault="0017063D" w:rsidP="006E60B0">
      <w:pPr>
        <w:numPr>
          <w:ilvl w:val="0"/>
          <w:numId w:val="5"/>
        </w:numPr>
        <w:spacing w:before="100" w:beforeAutospacing="1" w:after="100" w:afterAutospacing="1" w:line="419" w:lineRule="atLeast"/>
        <w:ind w:left="0"/>
        <w:jc w:val="both"/>
        <w:rPr>
          <w:rFonts w:ascii="Arial" w:eastAsia="Times New Roman" w:hAnsi="Arial" w:cs="Arial"/>
          <w:color w:val="242533"/>
          <w:sz w:val="27"/>
          <w:szCs w:val="27"/>
          <w:lang w:val="en-IN" w:eastAsia="en-IN"/>
        </w:rPr>
      </w:pPr>
      <w:r w:rsidRPr="0017063D">
        <w:rPr>
          <w:rFonts w:ascii="Arial" w:eastAsia="Times New Roman" w:hAnsi="Arial" w:cs="Arial"/>
          <w:color w:val="242533"/>
          <w:sz w:val="27"/>
          <w:szCs w:val="27"/>
          <w:lang w:val="en-IN" w:eastAsia="en-IN"/>
        </w:rPr>
        <w:t>Evaluate training and development programs to enhance employee skills and knowledge.</w:t>
      </w:r>
    </w:p>
    <w:p w:rsidR="00EC427B" w:rsidRDefault="0017063D" w:rsidP="002159B2">
      <w:pPr>
        <w:numPr>
          <w:ilvl w:val="0"/>
          <w:numId w:val="5"/>
        </w:numPr>
        <w:spacing w:before="100" w:beforeAutospacing="1" w:after="100" w:afterAutospacing="1" w:line="419" w:lineRule="atLeast"/>
        <w:ind w:left="0"/>
        <w:jc w:val="both"/>
        <w:rPr>
          <w:rFonts w:ascii="Arial" w:eastAsia="Times New Roman" w:hAnsi="Arial" w:cs="Arial"/>
          <w:color w:val="242533"/>
          <w:sz w:val="27"/>
          <w:szCs w:val="27"/>
          <w:lang w:val="en-IN" w:eastAsia="en-IN"/>
        </w:rPr>
      </w:pPr>
      <w:r w:rsidRPr="0017063D">
        <w:rPr>
          <w:rFonts w:ascii="Arial" w:eastAsia="Times New Roman" w:hAnsi="Arial" w:cs="Arial"/>
          <w:color w:val="242533"/>
          <w:sz w:val="27"/>
          <w:szCs w:val="27"/>
          <w:lang w:val="en-IN" w:eastAsia="en-IN"/>
        </w:rPr>
        <w:t>Develop HR policies that align with our mission, values, and business objectives</w:t>
      </w:r>
      <w:r w:rsidR="00EC427B">
        <w:rPr>
          <w:rFonts w:ascii="Arial" w:eastAsia="Times New Roman" w:hAnsi="Arial" w:cs="Arial"/>
          <w:color w:val="242533"/>
          <w:sz w:val="27"/>
          <w:szCs w:val="27"/>
          <w:lang w:val="en-IN" w:eastAsia="en-IN"/>
        </w:rPr>
        <w:t>.</w:t>
      </w:r>
    </w:p>
    <w:p w:rsidR="0017063D" w:rsidRPr="0017063D" w:rsidRDefault="006E60B0" w:rsidP="002159B2">
      <w:pPr>
        <w:numPr>
          <w:ilvl w:val="0"/>
          <w:numId w:val="5"/>
        </w:numPr>
        <w:spacing w:before="100" w:beforeAutospacing="1" w:after="100" w:afterAutospacing="1" w:line="419" w:lineRule="atLeast"/>
        <w:ind w:left="0"/>
        <w:jc w:val="both"/>
        <w:rPr>
          <w:rFonts w:ascii="Arial" w:eastAsia="Times New Roman" w:hAnsi="Arial" w:cs="Arial"/>
          <w:color w:val="242533"/>
          <w:sz w:val="27"/>
          <w:szCs w:val="27"/>
          <w:lang w:val="en-IN" w:eastAsia="en-IN"/>
        </w:rPr>
      </w:pPr>
      <w:r w:rsidRPr="00EC427B">
        <w:rPr>
          <w:rFonts w:ascii="Arial" w:eastAsia="Times New Roman" w:hAnsi="Arial" w:cs="Arial"/>
          <w:color w:val="242533"/>
          <w:sz w:val="27"/>
          <w:szCs w:val="27"/>
          <w:lang w:val="en-IN" w:eastAsia="en-IN"/>
        </w:rPr>
        <w:t>Analyse</w:t>
      </w:r>
      <w:r w:rsidR="0017063D" w:rsidRPr="0017063D">
        <w:rPr>
          <w:rFonts w:ascii="Arial" w:eastAsia="Times New Roman" w:hAnsi="Arial" w:cs="Arial"/>
          <w:color w:val="242533"/>
          <w:sz w:val="27"/>
          <w:szCs w:val="27"/>
          <w:lang w:val="en-IN" w:eastAsia="en-IN"/>
        </w:rPr>
        <w:t xml:space="preserve"> the effectiveness of our HR procedures and tools, implementing improvements to enhance efficiency and employee experience.</w:t>
      </w:r>
    </w:p>
    <w:p w:rsidR="0017063D" w:rsidRPr="0017063D" w:rsidRDefault="0017063D" w:rsidP="006E60B0">
      <w:pPr>
        <w:numPr>
          <w:ilvl w:val="0"/>
          <w:numId w:val="5"/>
        </w:numPr>
        <w:spacing w:before="100" w:beforeAutospacing="1" w:after="100" w:afterAutospacing="1" w:line="419" w:lineRule="atLeast"/>
        <w:ind w:left="0"/>
        <w:jc w:val="both"/>
        <w:rPr>
          <w:rFonts w:ascii="Arial" w:eastAsia="Times New Roman" w:hAnsi="Arial" w:cs="Arial"/>
          <w:color w:val="242533"/>
          <w:sz w:val="27"/>
          <w:szCs w:val="27"/>
          <w:lang w:val="en-IN" w:eastAsia="en-IN"/>
        </w:rPr>
      </w:pPr>
      <w:r w:rsidRPr="0017063D">
        <w:rPr>
          <w:rFonts w:ascii="Arial" w:eastAsia="Times New Roman" w:hAnsi="Arial" w:cs="Arial"/>
          <w:color w:val="242533"/>
          <w:sz w:val="27"/>
          <w:szCs w:val="27"/>
          <w:lang w:val="en-IN" w:eastAsia="en-IN"/>
        </w:rPr>
        <w:t>Ensure HR plans are aligned with the organization’s long-term growth and strategic objectives.</w:t>
      </w:r>
    </w:p>
    <w:p w:rsidR="0017063D" w:rsidRPr="0017063D" w:rsidRDefault="0017063D" w:rsidP="006E60B0">
      <w:pPr>
        <w:numPr>
          <w:ilvl w:val="0"/>
          <w:numId w:val="5"/>
        </w:numPr>
        <w:spacing w:before="100" w:beforeAutospacing="1" w:after="100" w:afterAutospacing="1" w:line="419" w:lineRule="atLeast"/>
        <w:ind w:left="0"/>
        <w:jc w:val="both"/>
        <w:rPr>
          <w:rFonts w:ascii="Arial" w:eastAsia="Times New Roman" w:hAnsi="Arial" w:cs="Arial"/>
          <w:color w:val="242533"/>
          <w:sz w:val="27"/>
          <w:szCs w:val="27"/>
          <w:lang w:val="en-IN" w:eastAsia="en-IN"/>
        </w:rPr>
      </w:pPr>
      <w:r w:rsidRPr="0017063D">
        <w:rPr>
          <w:rFonts w:ascii="Arial" w:eastAsia="Times New Roman" w:hAnsi="Arial" w:cs="Arial"/>
          <w:color w:val="242533"/>
          <w:sz w:val="27"/>
          <w:szCs w:val="27"/>
          <w:lang w:val="en-IN" w:eastAsia="en-IN"/>
        </w:rPr>
        <w:t>Collaborate with executive leadership to provide insights and data-driven recommendations on workforce planning and talent management.</w:t>
      </w:r>
    </w:p>
    <w:p w:rsidR="0017063D" w:rsidRPr="0017063D" w:rsidRDefault="0017063D" w:rsidP="006E60B0">
      <w:pPr>
        <w:numPr>
          <w:ilvl w:val="0"/>
          <w:numId w:val="5"/>
        </w:numPr>
        <w:spacing w:before="100" w:beforeAutospacing="1" w:after="100" w:afterAutospacing="1" w:line="419" w:lineRule="atLeast"/>
        <w:ind w:left="0"/>
        <w:jc w:val="both"/>
        <w:rPr>
          <w:rFonts w:ascii="Arial" w:eastAsia="Times New Roman" w:hAnsi="Arial" w:cs="Arial"/>
          <w:color w:val="242533"/>
          <w:sz w:val="27"/>
          <w:szCs w:val="27"/>
          <w:lang w:val="en-IN" w:eastAsia="en-IN"/>
        </w:rPr>
      </w:pPr>
      <w:r w:rsidRPr="0017063D">
        <w:rPr>
          <w:rFonts w:ascii="Arial" w:eastAsia="Times New Roman" w:hAnsi="Arial" w:cs="Arial"/>
          <w:color w:val="242533"/>
          <w:sz w:val="27"/>
          <w:szCs w:val="27"/>
          <w:lang w:val="en-IN" w:eastAsia="en-IN"/>
        </w:rPr>
        <w:t>Stay abreast of industry trends, best practices, and changes in labour legislation, incorporating them into HR strategies and policies.</w:t>
      </w:r>
    </w:p>
    <w:p w:rsidR="0017063D" w:rsidRPr="0017063D" w:rsidRDefault="0017063D" w:rsidP="006E60B0">
      <w:pPr>
        <w:numPr>
          <w:ilvl w:val="0"/>
          <w:numId w:val="5"/>
        </w:numPr>
        <w:spacing w:before="100" w:beforeAutospacing="1" w:after="100" w:afterAutospacing="1" w:line="419" w:lineRule="atLeast"/>
        <w:ind w:left="0"/>
        <w:jc w:val="both"/>
        <w:rPr>
          <w:rFonts w:ascii="Arial" w:eastAsia="Times New Roman" w:hAnsi="Arial" w:cs="Arial"/>
          <w:color w:val="242533"/>
          <w:sz w:val="27"/>
          <w:szCs w:val="27"/>
          <w:lang w:val="en-IN" w:eastAsia="en-IN"/>
        </w:rPr>
      </w:pPr>
      <w:r w:rsidRPr="0017063D">
        <w:rPr>
          <w:rFonts w:ascii="Arial" w:eastAsia="Times New Roman" w:hAnsi="Arial" w:cs="Arial"/>
          <w:color w:val="242533"/>
          <w:sz w:val="27"/>
          <w:szCs w:val="27"/>
          <w:lang w:val="en-IN" w:eastAsia="en-IN"/>
        </w:rPr>
        <w:t>Lead organizational change initiatives, ensuring smooth transitions and employee buy-in.</w:t>
      </w:r>
    </w:p>
    <w:p w:rsidR="0017063D" w:rsidRPr="00EC427B" w:rsidRDefault="0017063D" w:rsidP="00C01B40">
      <w:pPr>
        <w:numPr>
          <w:ilvl w:val="0"/>
          <w:numId w:val="5"/>
        </w:numPr>
        <w:spacing w:before="100" w:beforeAutospacing="1" w:after="0" w:afterAutospacing="1" w:line="240" w:lineRule="auto"/>
        <w:ind w:left="0"/>
        <w:jc w:val="both"/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</w:pPr>
      <w:r w:rsidRPr="0017063D">
        <w:rPr>
          <w:rFonts w:ascii="Arial" w:eastAsia="Times New Roman" w:hAnsi="Arial" w:cs="Arial"/>
          <w:color w:val="242533"/>
          <w:sz w:val="27"/>
          <w:szCs w:val="27"/>
          <w:lang w:val="en-IN" w:eastAsia="en-IN"/>
        </w:rPr>
        <w:t>Oversee employee relations matters and ensure effective conflict resolution and communication.</w:t>
      </w:r>
      <w:bookmarkStart w:id="0" w:name="_GoBack"/>
      <w:bookmarkEnd w:id="0"/>
    </w:p>
    <w:sectPr w:rsidR="0017063D" w:rsidRPr="00EC427B" w:rsidSect="002C715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F053A"/>
    <w:multiLevelType w:val="hybridMultilevel"/>
    <w:tmpl w:val="5344C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B66EB"/>
    <w:multiLevelType w:val="hybridMultilevel"/>
    <w:tmpl w:val="2828D32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F685F"/>
    <w:multiLevelType w:val="hybridMultilevel"/>
    <w:tmpl w:val="BE485D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E12E6"/>
    <w:multiLevelType w:val="hybridMultilevel"/>
    <w:tmpl w:val="0B006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C677B"/>
    <w:multiLevelType w:val="multilevel"/>
    <w:tmpl w:val="2F22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9E"/>
    <w:rsid w:val="000F2D2F"/>
    <w:rsid w:val="00111475"/>
    <w:rsid w:val="001238CF"/>
    <w:rsid w:val="0017063D"/>
    <w:rsid w:val="00230400"/>
    <w:rsid w:val="002C715F"/>
    <w:rsid w:val="006E60B0"/>
    <w:rsid w:val="008E009E"/>
    <w:rsid w:val="00937B27"/>
    <w:rsid w:val="00B75B39"/>
    <w:rsid w:val="00BE7A0C"/>
    <w:rsid w:val="00D625A1"/>
    <w:rsid w:val="00E21012"/>
    <w:rsid w:val="00EC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0E197"/>
  <w15:chartTrackingRefBased/>
  <w15:docId w15:val="{C8BF91F5-0DB7-40BA-9E12-C41F9746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009E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09E"/>
    <w:pPr>
      <w:widowControl w:val="0"/>
      <w:spacing w:after="0" w:line="240" w:lineRule="auto"/>
      <w:ind w:left="720"/>
      <w:contextualSpacing/>
      <w:jc w:val="both"/>
    </w:pPr>
    <w:rPr>
      <w:rFonts w:ascii="Times New Roman" w:eastAsia="MS Gothic" w:hAnsi="Times New Roman" w:cs="MS Gothic"/>
      <w:kern w:val="2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8E00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0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09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09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E009E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1238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6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razerjones.com/hiring-advice/leadership/the-hr-leaders-guide-to-cultural-transform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razerjones.com/hiring-advice/leadership/redefining-retention-how-culture-coaching-and-capability-are-shaping-hr-in-2025/" TargetMode="External"/><Relationship Id="rId5" Type="http://schemas.openxmlformats.org/officeDocument/2006/relationships/hyperlink" Target="https://www.frazerjones.com/market-insight/market-update/employee-engagement-in-professional-services-why-now-is-the-time-to-rethink-your-people-strateg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Remanan</dc:creator>
  <cp:keywords/>
  <dc:description/>
  <cp:lastModifiedBy>Pradeep Remanan</cp:lastModifiedBy>
  <cp:revision>7</cp:revision>
  <dcterms:created xsi:type="dcterms:W3CDTF">2025-09-09T09:57:00Z</dcterms:created>
  <dcterms:modified xsi:type="dcterms:W3CDTF">2025-09-09T11:22:00Z</dcterms:modified>
</cp:coreProperties>
</file>